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R4-2108774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Remianing issues on random access tests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6.1.6.3.6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98-bis-e, the third meeting to discuss performance part of NR-U, companies had some discussions on the scope of test cases, test configurations and the work plan. Company views on test cases for timing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u w:val="single"/>
                <w:lang w:eastAsia="ko-KR"/>
              </w:rPr>
            </w:pPr>
            <w:r>
              <w:rPr>
                <w:b/>
                <w:u w:val="single"/>
                <w:lang w:eastAsia="ko-KR"/>
              </w:rPr>
              <w:t>DL CCA failure probability in random access test cases</w:t>
            </w:r>
          </w:p>
          <w:p>
            <w:pPr>
              <w:rPr>
                <w:lang w:eastAsia="zh-CN"/>
              </w:rPr>
            </w:pPr>
            <w:r>
              <w:rPr>
                <w:lang w:eastAsia="zh-CN"/>
              </w:rPr>
              <w:t>The following options have been discussed during the meeting:</w:t>
            </w:r>
          </w:p>
          <w:p>
            <w:pPr>
              <w:pStyle w:val="28"/>
              <w:numPr>
                <w:ilvl w:val="0"/>
                <w:numId w:val="6"/>
              </w:numPr>
              <w:rPr>
                <w:rFonts w:eastAsia="Calibri"/>
                <w:bCs/>
                <w:lang w:val="en-US"/>
              </w:rPr>
            </w:pPr>
            <w:r>
              <w:rPr>
                <w:bCs/>
              </w:rPr>
              <w:t>Proposal 1: NR-U random access procedure tests do not need to configure DL LBT failure, i.e., set P</w:t>
            </w:r>
            <w:r>
              <w:rPr>
                <w:bCs/>
                <w:vertAlign w:val="subscript"/>
              </w:rPr>
              <w:t>CCA_DL</w:t>
            </w:r>
            <w:r>
              <w:rPr>
                <w:bCs/>
              </w:rPr>
              <w:t>=1.0.</w:t>
            </w:r>
          </w:p>
          <w:p>
            <w:pPr>
              <w:rPr>
                <w:lang w:val="en-US"/>
              </w:rPr>
            </w:pPr>
          </w:p>
          <w:p>
            <w:pPr>
              <w:rPr>
                <w:b/>
                <w:u w:val="single"/>
                <w:lang w:eastAsia="ko-KR"/>
              </w:rPr>
            </w:pPr>
            <w:r>
              <w:rPr>
                <w:b/>
                <w:u w:val="single"/>
                <w:lang w:eastAsia="ko-KR"/>
              </w:rPr>
              <w:t>preambleReceivedTargetPower in random access test cases</w:t>
            </w:r>
          </w:p>
          <w:p>
            <w:pPr>
              <w:pStyle w:val="74"/>
              <w:spacing w:after="120"/>
              <w:rPr>
                <w:rFonts w:eastAsia="宋体"/>
                <w:sz w:val="20"/>
                <w:szCs w:val="20"/>
                <w:lang w:eastAsia="zh-CN"/>
              </w:rPr>
            </w:pPr>
            <w:r>
              <w:rPr>
                <w:rFonts w:eastAsia="宋体"/>
                <w:sz w:val="20"/>
                <w:szCs w:val="20"/>
                <w:lang w:eastAsia="zh-CN"/>
              </w:rPr>
              <w:t>The following options have been discussed during the meeting:</w:t>
            </w:r>
          </w:p>
          <w:p>
            <w:pPr>
              <w:pStyle w:val="28"/>
              <w:numPr>
                <w:ilvl w:val="0"/>
                <w:numId w:val="7"/>
              </w:numPr>
              <w:rPr>
                <w:rFonts w:eastAsia="Calibri"/>
                <w:bCs/>
                <w:u w:val="single"/>
                <w:lang w:val="en-US"/>
              </w:rPr>
            </w:pPr>
            <w:r>
              <w:rPr>
                <w:bCs/>
              </w:rPr>
              <w:t xml:space="preserve">Option 1: </w:t>
            </w:r>
          </w:p>
          <w:p>
            <w:pPr>
              <w:pStyle w:val="28"/>
              <w:numPr>
                <w:ilvl w:val="1"/>
                <w:numId w:val="7"/>
              </w:numPr>
              <w:rPr>
                <w:rFonts w:eastAsia="Calibri"/>
                <w:bCs/>
                <w:u w:val="single"/>
                <w:lang w:val="en-US"/>
              </w:rPr>
            </w:pPr>
            <w:r>
              <w:rPr>
                <w:bCs/>
              </w:rPr>
              <w:t xml:space="preserve">Test equipment to configure </w:t>
            </w:r>
            <w:r>
              <w:rPr>
                <w:bCs/>
                <w:i/>
              </w:rPr>
              <w:t>preambleReceivedTargetPower</w:t>
            </w:r>
            <w:r>
              <w:rPr>
                <w:bCs/>
              </w:rPr>
              <w:t xml:space="preserve"> for msg1 and </w:t>
            </w:r>
            <w:r>
              <w:rPr>
                <w:bCs/>
                <w:i/>
              </w:rPr>
              <w:t xml:space="preserve">msgA-PreambleReceivedTargetPower </w:t>
            </w:r>
            <w:r>
              <w:rPr>
                <w:bCs/>
              </w:rPr>
              <w:t>for msgA to the highest value for UL LBT test cases.</w:t>
            </w:r>
          </w:p>
          <w:p>
            <w:pPr>
              <w:pStyle w:val="28"/>
              <w:numPr>
                <w:ilvl w:val="0"/>
                <w:numId w:val="7"/>
              </w:numPr>
              <w:rPr>
                <w:bCs/>
                <w:u w:val="single"/>
              </w:rPr>
            </w:pPr>
            <w:r>
              <w:rPr>
                <w:bCs/>
              </w:rPr>
              <w:t xml:space="preserve">Option 2: </w:t>
            </w:r>
          </w:p>
          <w:p>
            <w:pPr>
              <w:pStyle w:val="28"/>
              <w:numPr>
                <w:ilvl w:val="1"/>
                <w:numId w:val="7"/>
              </w:numPr>
              <w:rPr>
                <w:bCs/>
              </w:rPr>
            </w:pPr>
            <w:r>
              <w:rPr>
                <w:bCs/>
              </w:rPr>
              <w:t xml:space="preserve">Specify RACH requirements that reuse NR FR1 configurations and expected PRACH transmitted power.  </w:t>
            </w:r>
          </w:p>
          <w:p>
            <w:pPr>
              <w:pStyle w:val="28"/>
              <w:numPr>
                <w:ilvl w:val="1"/>
                <w:numId w:val="7"/>
              </w:numPr>
              <w:rPr>
                <w:bCs/>
              </w:rPr>
            </w:pPr>
            <w:r>
              <w:rPr>
                <w:bCs/>
              </w:rPr>
              <w:t>Specify that the power of the first preamble for NR-U random access test cases to be the same as in NR test cases.</w:t>
            </w:r>
          </w:p>
          <w:p>
            <w:pPr>
              <w:spacing w:line="259" w:lineRule="auto"/>
              <w:rPr>
                <w:lang w:val="en-US"/>
              </w:rPr>
            </w:pPr>
          </w:p>
          <w:p>
            <w:pPr>
              <w:spacing w:after="120"/>
              <w:rPr>
                <w:rFonts w:eastAsia="Times New Roman"/>
                <w:b/>
                <w:u w:val="single"/>
              </w:rPr>
            </w:pPr>
            <w:r>
              <w:rPr>
                <w:rFonts w:eastAsia="Times New Roman"/>
                <w:b/>
                <w:u w:val="single"/>
              </w:rPr>
              <w:t>PRACH configuration for UL CCA testing</w:t>
            </w:r>
          </w:p>
          <w:p>
            <w:pPr>
              <w:rPr>
                <w:lang w:eastAsia="zh-CN"/>
              </w:rPr>
            </w:pPr>
            <w:r>
              <w:rPr>
                <w:lang w:eastAsia="zh-CN"/>
              </w:rPr>
              <w:t>The following options have been discussed during the meeting:</w:t>
            </w:r>
          </w:p>
          <w:p>
            <w:pPr>
              <w:pStyle w:val="28"/>
              <w:numPr>
                <w:ilvl w:val="0"/>
                <w:numId w:val="0"/>
              </w:numPr>
              <w:rPr>
                <w:rFonts w:hint="eastAsia" w:eastAsia="Yu Mincho"/>
                <w:bCs/>
                <w:color w:val="C55A11" w:themeColor="accent2" w:themeShade="BF"/>
                <w:highlight w:val="none"/>
                <w:lang w:val="en-US" w:eastAsia="zh-CN"/>
              </w:rPr>
            </w:pPr>
            <w:r>
              <w:t>Proposal 1: In the case the PRACH is transmitted within a gNB-initiated COT – which is always the case for FBE mode, a gap greater than 16 µs has to be configured between the DL-UL transmissions.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sz w:val="22"/>
          <w:szCs w:val="22"/>
          <w:lang w:val="en-US" w:eastAsia="zh-CN"/>
        </w:rPr>
      </w:pPr>
      <w:r>
        <w:rPr>
          <w:rFonts w:hint="eastAsia" w:eastAsia="宋体"/>
          <w:sz w:val="22"/>
          <w:szCs w:val="22"/>
          <w:lang w:val="en-US" w:eastAsia="zh-CN"/>
        </w:rPr>
        <w:t>We provide our views for the above issues one by one</w:t>
      </w:r>
      <w:r>
        <w:rPr>
          <w:rFonts w:hint="eastAsia"/>
          <w:sz w:val="22"/>
          <w:szCs w:val="22"/>
          <w:lang w:val="en-US" w:eastAsia="zh-CN"/>
        </w:rPr>
        <w:t>.</w:t>
      </w:r>
    </w:p>
    <w:p>
      <w:pPr>
        <w:rPr>
          <w:rFonts w:hint="eastAsia"/>
          <w:sz w:val="22"/>
          <w:szCs w:val="22"/>
          <w:lang w:val="en-US" w:eastAsia="zh-CN"/>
        </w:rPr>
      </w:pPr>
    </w:p>
    <w:p>
      <w:pPr>
        <w:rPr>
          <w:rFonts w:hint="eastAsia"/>
          <w:sz w:val="22"/>
          <w:szCs w:val="22"/>
          <w:lang w:val="en-US" w:eastAsia="zh-CN"/>
        </w:rPr>
      </w:pPr>
      <w:r>
        <w:rPr>
          <w:b/>
          <w:u w:val="single"/>
          <w:lang w:eastAsia="ko-KR"/>
        </w:rPr>
        <w:t>DL CCA failure probability in random access test cases</w:t>
      </w:r>
    </w:p>
    <w:p>
      <w:pPr>
        <w:rPr>
          <w:rFonts w:hint="default"/>
          <w:sz w:val="22"/>
          <w:szCs w:val="22"/>
          <w:lang w:val="en-US" w:eastAsia="zh-CN"/>
        </w:rPr>
      </w:pPr>
      <w:r>
        <w:rPr>
          <w:rFonts w:hint="eastAsia"/>
          <w:sz w:val="22"/>
          <w:szCs w:val="22"/>
          <w:lang w:val="en-US" w:eastAsia="zh-CN"/>
        </w:rPr>
        <w:t xml:space="preserve">For random access test cases, we can support not to have any DL CCA failures. This is because in the core requirements of RA with CCA, most differences between UE behavior under NR-U and legacy modes are on UL CCA. For instance the UE will transmit PRACH if UL CCA is successful. </w:t>
      </w:r>
    </w:p>
    <w:p>
      <w:pPr>
        <w:pStyle w:val="38"/>
        <w:rPr>
          <w:rFonts w:hint="default"/>
          <w:sz w:val="22"/>
          <w:szCs w:val="22"/>
          <w:lang w:val="en-US" w:eastAsia="zh-CN"/>
        </w:rPr>
      </w:pPr>
      <w:r>
        <w:rPr>
          <w:bCs/>
          <w:sz w:val="22"/>
          <w:szCs w:val="22"/>
        </w:rPr>
        <w:t>NR-U random access procedure tests do not need to configure DL LBT failure, i.e., set P</w:t>
      </w:r>
      <w:r>
        <w:rPr>
          <w:bCs/>
          <w:sz w:val="22"/>
          <w:szCs w:val="22"/>
          <w:vertAlign w:val="subscript"/>
        </w:rPr>
        <w:t>CCA_DL</w:t>
      </w:r>
      <w:r>
        <w:rPr>
          <w:bCs/>
          <w:sz w:val="22"/>
          <w:szCs w:val="22"/>
        </w:rPr>
        <w:t>=1.0</w:t>
      </w:r>
      <w:r>
        <w:rPr>
          <w:rFonts w:hint="eastAsia" w:eastAsia="宋体"/>
          <w:sz w:val="22"/>
          <w:szCs w:val="22"/>
          <w:lang w:val="en-US" w:eastAsia="zh-CN"/>
        </w:rPr>
        <w:t>.</w:t>
      </w:r>
    </w:p>
    <w:p>
      <w:pPr>
        <w:rPr>
          <w:rFonts w:hint="default"/>
          <w:sz w:val="22"/>
          <w:szCs w:val="22"/>
          <w:lang w:val="en-US" w:eastAsia="zh-CN"/>
        </w:rPr>
      </w:pPr>
    </w:p>
    <w:p>
      <w:pPr>
        <w:rPr>
          <w:rFonts w:hint="default"/>
          <w:sz w:val="22"/>
          <w:szCs w:val="22"/>
          <w:lang w:val="en-US" w:eastAsia="zh-CN"/>
        </w:rPr>
      </w:pPr>
      <w:r>
        <w:rPr>
          <w:b/>
          <w:sz w:val="22"/>
          <w:szCs w:val="22"/>
          <w:u w:val="single"/>
          <w:lang w:eastAsia="ko-KR"/>
        </w:rPr>
        <w:t>preambleReceivedTargetPower in random access test cases</w:t>
      </w:r>
    </w:p>
    <w:p>
      <w:pPr>
        <w:rPr>
          <w:rFonts w:hint="eastAsia"/>
          <w:sz w:val="22"/>
          <w:szCs w:val="22"/>
          <w:lang w:val="en-US" w:eastAsia="zh-CN"/>
        </w:rPr>
      </w:pPr>
      <w:r>
        <w:rPr>
          <w:rFonts w:hint="eastAsia"/>
          <w:sz w:val="22"/>
          <w:szCs w:val="22"/>
          <w:lang w:val="en-US" w:eastAsia="zh-CN"/>
        </w:rPr>
        <w:t>Here we slightly prefer Option 1, which is very clear on what the TE will do, what the test configuration would be, and also covers both 4-step and 2-step RA process clearly.</w:t>
      </w:r>
    </w:p>
    <w:p>
      <w:pPr>
        <w:pStyle w:val="38"/>
        <w:rPr>
          <w:rFonts w:hint="default"/>
          <w:sz w:val="22"/>
          <w:szCs w:val="22"/>
          <w:lang w:val="en-US" w:eastAsia="zh-CN"/>
        </w:rPr>
      </w:pPr>
      <w:r>
        <w:rPr>
          <w:bCs/>
          <w:sz w:val="22"/>
          <w:szCs w:val="22"/>
        </w:rPr>
        <w:t xml:space="preserve">Test equipment to configure </w:t>
      </w:r>
      <w:r>
        <w:rPr>
          <w:bCs/>
          <w:i/>
          <w:sz w:val="22"/>
          <w:szCs w:val="22"/>
        </w:rPr>
        <w:t>preambleReceivedTargetPower</w:t>
      </w:r>
      <w:r>
        <w:rPr>
          <w:bCs/>
          <w:sz w:val="22"/>
          <w:szCs w:val="22"/>
        </w:rPr>
        <w:t xml:space="preserve"> for msg1 and </w:t>
      </w:r>
      <w:r>
        <w:rPr>
          <w:bCs/>
          <w:i/>
          <w:sz w:val="22"/>
          <w:szCs w:val="22"/>
        </w:rPr>
        <w:t xml:space="preserve">msgA-PreambleReceivedTargetPower </w:t>
      </w:r>
      <w:r>
        <w:rPr>
          <w:bCs/>
          <w:sz w:val="22"/>
          <w:szCs w:val="22"/>
        </w:rPr>
        <w:t>for msgA to the highest value for UL LBT test cases.</w:t>
      </w:r>
    </w:p>
    <w:p>
      <w:pPr>
        <w:pStyle w:val="30"/>
        <w:jc w:val="both"/>
      </w:pPr>
      <w:r>
        <w:rPr>
          <w:rFonts w:hint="eastAsia"/>
          <w:lang w:val="en-US" w:eastAsia="zh-CN"/>
        </w:rPr>
        <w:t>3</w:t>
      </w:r>
      <w:r>
        <w:tab/>
      </w:r>
      <w:r>
        <w:t>Conclusion</w:t>
      </w:r>
    </w:p>
    <w:p>
      <w:pPr>
        <w:pStyle w:val="38"/>
        <w:numPr>
          <w:ilvl w:val="0"/>
          <w:numId w:val="0"/>
        </w:numPr>
        <w:ind w:leftChars="0"/>
        <w:rPr>
          <w:rFonts w:hint="eastAsia"/>
          <w:lang w:val="en-US" w:eastAsia="zh-CN"/>
        </w:rPr>
      </w:pPr>
      <w:r>
        <w:rPr>
          <w:rFonts w:hint="eastAsia"/>
          <w:b/>
          <w:bCs/>
          <w:sz w:val="22"/>
          <w:szCs w:val="22"/>
          <w:lang w:val="en-US" w:eastAsia="zh-CN"/>
        </w:rPr>
        <w:t xml:space="preserve">Proposal 1: </w:t>
      </w:r>
      <w:r>
        <w:rPr>
          <w:bCs/>
          <w:sz w:val="22"/>
          <w:szCs w:val="22"/>
        </w:rPr>
        <w:t>NR-U random access procedure tests do not need to configure DL LBT failure, i.e., set P</w:t>
      </w:r>
      <w:r>
        <w:rPr>
          <w:bCs/>
          <w:sz w:val="22"/>
          <w:szCs w:val="22"/>
          <w:vertAlign w:val="subscript"/>
        </w:rPr>
        <w:t>CCA_DL</w:t>
      </w:r>
      <w:r>
        <w:rPr>
          <w:bCs/>
          <w:sz w:val="22"/>
          <w:szCs w:val="22"/>
        </w:rPr>
        <w:t>=1.0</w:t>
      </w:r>
      <w:r>
        <w:rPr>
          <w:rFonts w:hint="eastAsia" w:eastAsia="宋体"/>
          <w:sz w:val="22"/>
          <w:szCs w:val="22"/>
          <w:lang w:val="en-US" w:eastAsia="zh-CN"/>
        </w:rPr>
        <w:t>.</w:t>
      </w:r>
    </w:p>
    <w:p>
      <w:pPr>
        <w:pStyle w:val="38"/>
        <w:numPr>
          <w:ilvl w:val="0"/>
          <w:numId w:val="0"/>
        </w:numPr>
        <w:ind w:leftChars="0"/>
        <w:rPr>
          <w:rFonts w:hint="eastAsia"/>
          <w:lang w:val="en-US" w:eastAsia="zh-CN"/>
        </w:rPr>
      </w:pPr>
      <w:r>
        <w:rPr>
          <w:rFonts w:hint="eastAsia"/>
          <w:b/>
          <w:bCs/>
          <w:sz w:val="22"/>
          <w:szCs w:val="22"/>
          <w:lang w:val="en-US" w:eastAsia="zh-CN"/>
        </w:rPr>
        <w:t>Proposal 2</w:t>
      </w:r>
      <w:bookmarkStart w:id="4" w:name="_GoBack"/>
      <w:bookmarkEnd w:id="4"/>
      <w:r>
        <w:rPr>
          <w:rFonts w:hint="eastAsia"/>
          <w:b/>
          <w:bCs/>
          <w:sz w:val="22"/>
          <w:szCs w:val="22"/>
          <w:lang w:val="en-US" w:eastAsia="zh-CN"/>
        </w:rPr>
        <w:t xml:space="preserve">: </w:t>
      </w:r>
      <w:r>
        <w:rPr>
          <w:bCs/>
          <w:sz w:val="22"/>
          <w:szCs w:val="22"/>
        </w:rPr>
        <w:t xml:space="preserve">Test equipment to configure </w:t>
      </w:r>
      <w:r>
        <w:rPr>
          <w:bCs/>
          <w:i/>
          <w:sz w:val="22"/>
          <w:szCs w:val="22"/>
        </w:rPr>
        <w:t>preambleReceivedTargetPower</w:t>
      </w:r>
      <w:r>
        <w:rPr>
          <w:bCs/>
          <w:sz w:val="22"/>
          <w:szCs w:val="22"/>
        </w:rPr>
        <w:t xml:space="preserve"> for msg1 and </w:t>
      </w:r>
      <w:r>
        <w:rPr>
          <w:bCs/>
          <w:i/>
          <w:sz w:val="22"/>
          <w:szCs w:val="22"/>
        </w:rPr>
        <w:t xml:space="preserve">msgA-PreambleReceivedTargetPower </w:t>
      </w:r>
      <w:r>
        <w:rPr>
          <w:bCs/>
          <w:sz w:val="22"/>
          <w:szCs w:val="22"/>
        </w:rPr>
        <w:t>for msgA to the highest value for UL LBT test cases.</w:t>
      </w:r>
    </w:p>
    <w:p>
      <w:pPr>
        <w:pStyle w:val="30"/>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R4-2103518</w:t>
      </w:r>
    </w:p>
    <w:p>
      <w:pPr>
        <w:numPr>
          <w:ilvl w:val="0"/>
          <w:numId w:val="8"/>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C7339BE"/>
    <w:multiLevelType w:val="multilevel"/>
    <w:tmpl w:val="3C7339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06E7084"/>
    <w:multiLevelType w:val="multilevel"/>
    <w:tmpl w:val="406E70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7"/>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451A4F"/>
    <w:rsid w:val="27572E0B"/>
    <w:rsid w:val="2762235C"/>
    <w:rsid w:val="276537E8"/>
    <w:rsid w:val="280C272A"/>
    <w:rsid w:val="28176D87"/>
    <w:rsid w:val="281B6C69"/>
    <w:rsid w:val="284E33F7"/>
    <w:rsid w:val="28686999"/>
    <w:rsid w:val="287A3770"/>
    <w:rsid w:val="28A011E1"/>
    <w:rsid w:val="28C759BF"/>
    <w:rsid w:val="290A138C"/>
    <w:rsid w:val="292F1A34"/>
    <w:rsid w:val="293606FA"/>
    <w:rsid w:val="29517179"/>
    <w:rsid w:val="29E7086A"/>
    <w:rsid w:val="2A1219AD"/>
    <w:rsid w:val="2A1B67DE"/>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075AD6"/>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5B2EB3"/>
    <w:rsid w:val="3C770857"/>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8D30A3"/>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9D663D"/>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 w:type="paragraph" w:customStyle="1" w:styleId="74">
    <w:name w:val="tal"/>
    <w:basedOn w:val="1"/>
    <w:qFormat/>
    <w:uiPriority w:val="0"/>
    <w:pPr>
      <w:overflowPunct/>
      <w:autoSpaceDE/>
      <w:autoSpaceDN/>
      <w:adjustRightInd/>
      <w:spacing w:before="100" w:beforeAutospacing="1" w:after="100" w:afterAutospacing="1" w:line="259" w:lineRule="auto"/>
      <w:textAlignment w:val="auto"/>
    </w:pPr>
    <w:rPr>
      <w:rFonts w:eastAsia="Calibri"/>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2021-05-10T02:44:23Z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